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firstLine="720" w:firstLineChars="300"/>
        <w:rPr>
          <w:rFonts w:hint="default" w:asciiTheme="minorEastAsia" w:hAnsiTheme="minorEastAsia"/>
          <w:sz w:val="24"/>
        </w:rPr>
      </w:pPr>
      <w:r>
        <w:rPr>
          <w:rFonts w:hint="eastAsia" w:asciiTheme="minorEastAsia" w:hAnsiTheme="minorEastAsia"/>
          <w:sz w:val="24"/>
        </w:rPr>
        <w:t>赤平市住民基本台帳の一部の写しの閲覧に関する事務取扱要綱</w:t>
      </w: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（趣旨）</w:t>
      </w:r>
    </w:p>
    <w:p>
      <w:pPr>
        <w:pStyle w:val="0"/>
        <w:ind w:left="240" w:hanging="240" w:hangingChars="100"/>
        <w:rPr>
          <w:rFonts w:hint="default" w:asciiTheme="minorEastAsia" w:hAnsiTheme="minorEastAsia"/>
          <w:sz w:val="24"/>
        </w:rPr>
      </w:pPr>
      <w:r>
        <w:rPr>
          <w:rFonts w:hint="eastAsia" w:asciiTheme="minorEastAsia" w:hAnsiTheme="minorEastAsia"/>
          <w:sz w:val="24"/>
        </w:rPr>
        <w:t>第１条　この要綱は，住民基本台帳法（昭和４２年法律第８１号。以下「法」という。）第１１条及び第１１条の２に規定する住民基本台帳の一部の写しの閲覧（以下「閲覧」という。）に関する事務についての取扱いを定め，適切な事務処理を図ることにより，市民の個人情報を保護することを目的とする。</w:t>
      </w:r>
    </w:p>
    <w:p>
      <w:pPr>
        <w:pStyle w:val="0"/>
        <w:rPr>
          <w:rFonts w:hint="default" w:asciiTheme="minorEastAsia" w:hAnsiTheme="minorEastAsia"/>
          <w:sz w:val="24"/>
        </w:rPr>
      </w:pPr>
      <w:r>
        <w:rPr>
          <w:rFonts w:hint="eastAsia" w:asciiTheme="minorEastAsia" w:hAnsiTheme="minorEastAsia"/>
          <w:sz w:val="24"/>
        </w:rPr>
        <w:t>　　　　</w:t>
      </w:r>
    </w:p>
    <w:p>
      <w:pPr>
        <w:pStyle w:val="0"/>
        <w:ind w:firstLine="240" w:firstLineChars="100"/>
        <w:rPr>
          <w:rFonts w:hint="default" w:asciiTheme="minorEastAsia" w:hAnsiTheme="minorEastAsia"/>
          <w:sz w:val="24"/>
        </w:rPr>
      </w:pPr>
      <w:r>
        <w:rPr>
          <w:rFonts w:hint="eastAsia" w:asciiTheme="minorEastAsia" w:hAnsiTheme="minorEastAsia"/>
          <w:sz w:val="24"/>
        </w:rPr>
        <w:t>（閲覧に供する書類）</w:t>
      </w:r>
    </w:p>
    <w:p>
      <w:pPr>
        <w:pStyle w:val="0"/>
        <w:ind w:left="240" w:hanging="240" w:hangingChars="100"/>
        <w:rPr>
          <w:rFonts w:hint="default" w:asciiTheme="minorEastAsia" w:hAnsiTheme="minorEastAsia"/>
          <w:sz w:val="24"/>
        </w:rPr>
      </w:pPr>
      <w:r>
        <w:rPr>
          <w:rFonts w:hint="eastAsia" w:asciiTheme="minorEastAsia" w:hAnsiTheme="minorEastAsia"/>
          <w:sz w:val="24"/>
        </w:rPr>
        <w:t>第２条　閲覧に供する書類は，法第１１条第１項に規定する住民基本台帳の一部の写し（以下「閲覧台帳」という。）とする。</w:t>
      </w:r>
    </w:p>
    <w:p>
      <w:pPr>
        <w:pStyle w:val="0"/>
        <w:ind w:left="240" w:hanging="240" w:hangingChars="100"/>
        <w:rPr>
          <w:rFonts w:hint="default" w:asciiTheme="minorEastAsia" w:hAnsiTheme="minorEastAsia"/>
          <w:sz w:val="24"/>
        </w:rPr>
      </w:pPr>
      <w:r>
        <w:rPr>
          <w:rFonts w:hint="eastAsia" w:asciiTheme="minorEastAsia" w:hAnsiTheme="minorEastAsia"/>
          <w:sz w:val="24"/>
        </w:rPr>
        <w:t>２　閲覧台帳は，住民基本台帳に基づき住所，氏名，生年月日及び性別として作成するものとする。</w:t>
      </w:r>
    </w:p>
    <w:p>
      <w:pPr>
        <w:pStyle w:val="0"/>
        <w:ind w:left="240" w:hanging="240" w:hangingChars="100"/>
        <w:rPr>
          <w:rFonts w:hint="default" w:asciiTheme="minorEastAsia" w:hAnsiTheme="minorEastAsia"/>
          <w:sz w:val="24"/>
        </w:rPr>
      </w:pPr>
      <w:r>
        <w:rPr>
          <w:rFonts w:hint="eastAsia" w:asciiTheme="minorEastAsia" w:hAnsiTheme="minorEastAsia"/>
          <w:sz w:val="24"/>
        </w:rPr>
        <w:t>３　配偶者からの暴力の防止及び被害者の保護に関する法律（平成１３年法律第３１号）又はストーカー行為等の規制等に関する法律（平成１２年法律第８１号）の被害者のうち，支援措置を行っている者については，閲覧台帳から除外する。ただし，国又は地方公共団体の機関による閲覧の場合においては，特に必要である旨請求された場合は</w:t>
      </w:r>
      <w:r>
        <w:rPr>
          <w:rFonts w:hint="eastAsia" w:ascii="ＭＳ 明朝" w:hAnsi="ＭＳ 明朝" w:eastAsia="ＭＳ 明朝"/>
          <w:sz w:val="24"/>
        </w:rPr>
        <w:t>この限りでない</w:t>
      </w:r>
      <w:r>
        <w:rPr>
          <w:rFonts w:hint="eastAsia" w:asciiTheme="minorEastAsia" w:hAnsiTheme="minorEastAsia"/>
          <w:sz w:val="24"/>
        </w:rPr>
        <w:t>。</w:t>
      </w: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（閲覧の日時及び場所）</w:t>
      </w:r>
    </w:p>
    <w:p>
      <w:pPr>
        <w:pStyle w:val="0"/>
        <w:ind w:left="240" w:hanging="240" w:hangingChars="100"/>
        <w:rPr>
          <w:rFonts w:hint="default" w:asciiTheme="minorEastAsia" w:hAnsiTheme="minorEastAsia"/>
          <w:sz w:val="24"/>
        </w:rPr>
      </w:pPr>
      <w:r>
        <w:rPr>
          <w:rFonts w:hint="eastAsia" w:asciiTheme="minorEastAsia" w:hAnsiTheme="minorEastAsia"/>
          <w:sz w:val="24"/>
        </w:rPr>
        <w:t>第３条　閲覧のできる日時は，次に掲げる日を除く日の午前９時から正午まで及び午後１時から午後４時３０分までとする。</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⑴　赤平市の休日を定める条例（平成３年条例第１４号）第１条第１項各号に掲げる日</w:t>
      </w:r>
    </w:p>
    <w:p>
      <w:pPr>
        <w:pStyle w:val="0"/>
        <w:ind w:left="210" w:leftChars="100"/>
        <w:rPr>
          <w:rFonts w:hint="default" w:asciiTheme="minorEastAsia" w:hAnsiTheme="minorEastAsia"/>
          <w:sz w:val="24"/>
        </w:rPr>
      </w:pPr>
      <w:r>
        <w:rPr>
          <w:rFonts w:hint="eastAsia" w:asciiTheme="minorEastAsia" w:hAnsiTheme="minorEastAsia"/>
          <w:sz w:val="24"/>
        </w:rPr>
        <w:t>⑵　その他市長が閲覧に適さないと認める日</w:t>
      </w:r>
    </w:p>
    <w:p>
      <w:pPr>
        <w:pStyle w:val="0"/>
        <w:ind w:left="240" w:hanging="240" w:hangingChars="100"/>
        <w:rPr>
          <w:rFonts w:hint="default" w:asciiTheme="minorEastAsia" w:hAnsiTheme="minorEastAsia"/>
          <w:sz w:val="24"/>
        </w:rPr>
      </w:pPr>
      <w:r>
        <w:rPr>
          <w:rFonts w:hint="eastAsia" w:asciiTheme="minorEastAsia" w:hAnsiTheme="minorEastAsia"/>
          <w:sz w:val="24"/>
        </w:rPr>
        <w:t>２　閲覧をすることができる場所は，市民生活課内の指定する場所とする。</w:t>
      </w:r>
    </w:p>
    <w:p>
      <w:pPr>
        <w:pStyle w:val="0"/>
        <w:ind w:firstLine="240" w:firstLineChars="10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（閲覧の予約）</w:t>
      </w:r>
    </w:p>
    <w:p>
      <w:pPr>
        <w:pStyle w:val="0"/>
        <w:ind w:left="240" w:hanging="240" w:hangingChars="100"/>
        <w:rPr>
          <w:rFonts w:hint="default" w:asciiTheme="minorEastAsia" w:hAnsiTheme="minorEastAsia"/>
          <w:sz w:val="24"/>
        </w:rPr>
      </w:pPr>
      <w:r>
        <w:rPr>
          <w:rFonts w:hint="eastAsia" w:asciiTheme="minorEastAsia" w:hAnsiTheme="minorEastAsia"/>
          <w:sz w:val="24"/>
        </w:rPr>
        <w:t>第４条　閲覧に</w:t>
      </w:r>
      <w:r>
        <w:rPr>
          <w:rFonts w:hint="eastAsia" w:ascii="ＭＳ 明朝" w:hAnsi="ＭＳ 明朝" w:eastAsia="ＭＳ 明朝"/>
          <w:sz w:val="24"/>
        </w:rPr>
        <w:t>当たって</w:t>
      </w:r>
      <w:r>
        <w:rPr>
          <w:rFonts w:hint="eastAsia" w:asciiTheme="minorEastAsia" w:hAnsiTheme="minorEastAsia"/>
          <w:sz w:val="24"/>
        </w:rPr>
        <w:t>は，原則として閲覧を希望する日の７日以上前までに，電話又は来庁により予約しなければならない。</w:t>
      </w:r>
    </w:p>
    <w:p>
      <w:pPr>
        <w:pStyle w:val="0"/>
        <w:rPr>
          <w:rFonts w:hint="default" w:asciiTheme="minorEastAsia" w:hAnsiTheme="minorEastAsia"/>
          <w:sz w:val="24"/>
        </w:rPr>
      </w:pPr>
      <w:r>
        <w:rPr>
          <w:rFonts w:hint="eastAsia" w:asciiTheme="minorEastAsia" w:hAnsiTheme="minorEastAsia"/>
          <w:sz w:val="24"/>
        </w:rPr>
        <w:t>２　閲覧の予約は，閲覧を希望する日の１月前から受け付けるものとする。</w:t>
      </w: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（国又は地方公共団体の機関による閲覧の請求）</w:t>
      </w:r>
    </w:p>
    <w:p>
      <w:pPr>
        <w:pStyle w:val="0"/>
        <w:ind w:left="240" w:hanging="240" w:hangingChars="100"/>
        <w:rPr>
          <w:rFonts w:hint="default" w:asciiTheme="minorEastAsia" w:hAnsiTheme="minorEastAsia"/>
          <w:sz w:val="24"/>
        </w:rPr>
      </w:pPr>
      <w:r>
        <w:rPr>
          <w:rFonts w:hint="eastAsia" w:asciiTheme="minorEastAsia" w:hAnsiTheme="minorEastAsia"/>
          <w:sz w:val="24"/>
        </w:rPr>
        <w:t>第５条　法第１１条第１項に規定する国又は地方公共団体の機関による閲覧は，住民基本台帳閲覧請求文書（様式第１号。犯罪捜査その他特別の事情により請求事由を明らかにすることが困難な場合にあっては様式第２号。以下「請求書」という。）又はこれに準ずる公文書により請求するものとする。</w:t>
      </w:r>
    </w:p>
    <w:p>
      <w:pPr>
        <w:pStyle w:val="0"/>
        <w:rPr>
          <w:rFonts w:hint="default" w:asciiTheme="minorEastAsia" w:hAnsiTheme="minorEastAsia"/>
          <w:sz w:val="24"/>
        </w:rPr>
      </w:pPr>
      <w:r>
        <w:rPr>
          <w:rFonts w:hint="eastAsia" w:asciiTheme="minorEastAsia" w:hAnsiTheme="minorEastAsia"/>
          <w:sz w:val="24"/>
        </w:rPr>
        <w:t>２　前項に規定する申請書のほか，市長が認めた書類の提出を求めることができる。　</w:t>
      </w: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（個人又は法人による閲覧の申出）</w:t>
      </w:r>
    </w:p>
    <w:p>
      <w:pPr>
        <w:pStyle w:val="0"/>
        <w:ind w:left="240" w:hanging="240" w:hangingChars="100"/>
        <w:rPr>
          <w:rFonts w:hint="default" w:asciiTheme="minorEastAsia" w:hAnsiTheme="minorEastAsia"/>
          <w:sz w:val="24"/>
        </w:rPr>
      </w:pPr>
      <w:r>
        <w:rPr>
          <w:rFonts w:hint="eastAsia" w:asciiTheme="minorEastAsia" w:hAnsiTheme="minorEastAsia"/>
          <w:sz w:val="24"/>
        </w:rPr>
        <w:t>第６条　法第１１条の２第１項に規定する個人又は法人による閲覧（以下「閲覧　　の申出」という。）は，次に掲げる書類により申し出るものとする。</w:t>
      </w:r>
    </w:p>
    <w:p>
      <w:pPr>
        <w:pStyle w:val="0"/>
        <w:ind w:firstLine="240" w:firstLineChars="100"/>
        <w:rPr>
          <w:rFonts w:hint="default" w:asciiTheme="minorEastAsia" w:hAnsiTheme="minorEastAsia"/>
          <w:sz w:val="24"/>
        </w:rPr>
      </w:pPr>
      <w:r>
        <w:rPr>
          <w:rFonts w:hint="eastAsia" w:asciiTheme="minorEastAsia" w:hAnsiTheme="minorEastAsia"/>
          <w:sz w:val="24"/>
        </w:rPr>
        <w:t>⑴　住民基本台帳閲覧申出書（様式第３号）</w:t>
      </w:r>
    </w:p>
    <w:p>
      <w:pPr>
        <w:pStyle w:val="0"/>
        <w:ind w:firstLine="240" w:firstLineChars="100"/>
        <w:rPr>
          <w:rFonts w:hint="default" w:asciiTheme="minorEastAsia" w:hAnsiTheme="minorEastAsia"/>
          <w:sz w:val="24"/>
        </w:rPr>
      </w:pPr>
      <w:r>
        <w:rPr>
          <w:rFonts w:hint="eastAsia" w:asciiTheme="minorEastAsia" w:hAnsiTheme="minorEastAsia"/>
          <w:sz w:val="24"/>
        </w:rPr>
        <w:t>⑵　誓約書（様式第４号）</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⑶　閲覧の申出を行う者（以下「申出者」という。）が法人の場合は法人格を有することを証する書面（申出の日から３か月以内に発行したものに限る。）又はその写し</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⑷　個人情報の保護に関する法律（平成１５年法律第５７号）第２０条に規定する安全管理措置義務を果たしていることを証する資料</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⑸　法第１１条の２第１項第１号に規定する調査研究のための閲覧にあっては調査要綱等その概要の</w:t>
      </w:r>
      <w:r>
        <w:rPr>
          <w:rFonts w:hint="eastAsia" w:ascii="ＭＳ 明朝" w:hAnsi="ＭＳ 明朝" w:eastAsia="ＭＳ 明朝"/>
          <w:sz w:val="24"/>
        </w:rPr>
        <w:t>分かる</w:t>
      </w:r>
      <w:r>
        <w:rPr>
          <w:rFonts w:hint="eastAsia" w:asciiTheme="minorEastAsia" w:hAnsiTheme="minorEastAsia"/>
          <w:sz w:val="24"/>
        </w:rPr>
        <w:t>資料</w:t>
      </w:r>
    </w:p>
    <w:p>
      <w:pPr>
        <w:pStyle w:val="0"/>
        <w:ind w:firstLine="240" w:firstLineChars="100"/>
        <w:rPr>
          <w:rFonts w:hint="default" w:asciiTheme="minorEastAsia" w:hAnsiTheme="minorEastAsia"/>
          <w:sz w:val="24"/>
        </w:rPr>
      </w:pPr>
      <w:r>
        <w:rPr>
          <w:rFonts w:hint="eastAsia" w:asciiTheme="minorEastAsia" w:hAnsiTheme="minorEastAsia"/>
          <w:sz w:val="24"/>
        </w:rPr>
        <w:t>⑹　前各号に掲げるもののほか，市長が特に必要と認めるもの</w:t>
      </w: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（申出の審査）</w:t>
      </w:r>
    </w:p>
    <w:p>
      <w:pPr>
        <w:pStyle w:val="0"/>
        <w:ind w:left="240" w:hanging="240" w:hangingChars="100"/>
        <w:rPr>
          <w:rFonts w:hint="default" w:asciiTheme="minorEastAsia" w:hAnsiTheme="minorEastAsia"/>
          <w:sz w:val="24"/>
        </w:rPr>
      </w:pPr>
      <w:r>
        <w:rPr>
          <w:rFonts w:hint="eastAsia" w:asciiTheme="minorEastAsia" w:hAnsiTheme="minorEastAsia"/>
          <w:sz w:val="24"/>
        </w:rPr>
        <w:t>第７条　市長は，閲覧の申出について，法第１１条の２第１項各号及び住民基本台帳の一部の写しの閲覧についての公益性の判断に関する基準（平成１８年総務省告示第４９５号。以下「公益性告示」という。）及びこの要綱の規定により審査するものとする。</w:t>
      </w:r>
    </w:p>
    <w:p>
      <w:pPr>
        <w:pStyle w:val="0"/>
        <w:rPr>
          <w:rFonts w:hint="default" w:asciiTheme="minorEastAsia" w:hAnsiTheme="minorEastAsia"/>
          <w:sz w:val="24"/>
        </w:rPr>
      </w:pPr>
      <w:r>
        <w:rPr>
          <w:rFonts w:hint="eastAsia" w:asciiTheme="minorEastAsia" w:hAnsiTheme="minorEastAsia"/>
          <w:sz w:val="24"/>
        </w:rPr>
        <w:t>２　法第１１条の２第１項第３号に規定する市長が定めるものは次のとおりとする。</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⑴　集合住宅の管理組合が管理業務を行うために当該集合住宅の居住者を確認する必要があって他に手段がない場合</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⑵　郵便物が誤配される等の理由により自らの住所に無断で住所を置いている者がいないか確認する場合</w:t>
      </w:r>
    </w:p>
    <w:p>
      <w:pPr>
        <w:pStyle w:val="0"/>
        <w:ind w:firstLine="240" w:firstLineChars="100"/>
        <w:rPr>
          <w:rFonts w:hint="default" w:asciiTheme="minorEastAsia" w:hAnsiTheme="minorEastAsia"/>
          <w:sz w:val="24"/>
        </w:rPr>
      </w:pPr>
      <w:r>
        <w:rPr>
          <w:rFonts w:hint="eastAsia" w:asciiTheme="minorEastAsia" w:hAnsiTheme="minorEastAsia"/>
          <w:sz w:val="24"/>
        </w:rPr>
        <w:t>⑶　その他営利以外の目的で行う居住関係の確認のうち市長が相当と認める場合</w:t>
      </w: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（閲覧の拒否）</w:t>
      </w:r>
    </w:p>
    <w:p>
      <w:pPr>
        <w:pStyle w:val="0"/>
        <w:rPr>
          <w:rFonts w:hint="default" w:asciiTheme="minorEastAsia" w:hAnsiTheme="minorEastAsia"/>
          <w:sz w:val="24"/>
        </w:rPr>
      </w:pPr>
      <w:r>
        <w:rPr>
          <w:rFonts w:hint="eastAsia" w:asciiTheme="minorEastAsia" w:hAnsiTheme="minorEastAsia"/>
          <w:sz w:val="24"/>
        </w:rPr>
        <w:t>第８条　市長は，次に該当する場合は，閲覧を拒否することができる。</w:t>
      </w:r>
    </w:p>
    <w:p>
      <w:pPr>
        <w:pStyle w:val="0"/>
        <w:ind w:firstLine="240" w:firstLineChars="100"/>
        <w:rPr>
          <w:rFonts w:hint="default" w:asciiTheme="minorEastAsia" w:hAnsiTheme="minorEastAsia"/>
          <w:sz w:val="24"/>
        </w:rPr>
      </w:pPr>
      <w:r>
        <w:rPr>
          <w:rFonts w:hint="eastAsia" w:asciiTheme="minorEastAsia" w:hAnsiTheme="minorEastAsia"/>
          <w:sz w:val="24"/>
        </w:rPr>
        <w:t>⑴　閲覧の請求及び申出が相当であると認められない場合</w:t>
      </w:r>
    </w:p>
    <w:p>
      <w:pPr>
        <w:pStyle w:val="0"/>
        <w:ind w:firstLine="240" w:firstLineChars="100"/>
        <w:rPr>
          <w:rFonts w:hint="default" w:asciiTheme="minorEastAsia" w:hAnsiTheme="minorEastAsia"/>
          <w:sz w:val="24"/>
        </w:rPr>
      </w:pPr>
      <w:r>
        <w:rPr>
          <w:rFonts w:hint="eastAsia" w:asciiTheme="minorEastAsia" w:hAnsiTheme="minorEastAsia"/>
          <w:sz w:val="24"/>
        </w:rPr>
        <w:t>⑵　閲覧の請求及び申出に不備がある場合</w:t>
      </w:r>
    </w:p>
    <w:p>
      <w:pPr>
        <w:pStyle w:val="0"/>
        <w:ind w:firstLine="240" w:firstLineChars="100"/>
        <w:rPr>
          <w:rFonts w:hint="default" w:asciiTheme="minorEastAsia" w:hAnsiTheme="minorEastAsia"/>
          <w:sz w:val="24"/>
        </w:rPr>
      </w:pPr>
      <w:r>
        <w:rPr>
          <w:rFonts w:hint="eastAsia" w:asciiTheme="minorEastAsia" w:hAnsiTheme="minorEastAsia"/>
          <w:sz w:val="24"/>
        </w:rPr>
        <w:t>⑶　閲覧台帳の閲覧を行う者（以下「閲覧者」という。）の本人確認が行えない場</w:t>
      </w:r>
    </w:p>
    <w:p>
      <w:pPr>
        <w:pStyle w:val="0"/>
        <w:ind w:firstLine="240" w:firstLineChars="100"/>
        <w:rPr>
          <w:rFonts w:hint="default" w:asciiTheme="minorEastAsia" w:hAnsiTheme="minorEastAsia"/>
          <w:sz w:val="24"/>
        </w:rPr>
      </w:pPr>
      <w:r>
        <w:rPr>
          <w:rFonts w:hint="eastAsia" w:asciiTheme="minorEastAsia" w:hAnsiTheme="minorEastAsia"/>
          <w:sz w:val="24"/>
        </w:rPr>
        <w:t>　合</w:t>
      </w:r>
    </w:p>
    <w:p>
      <w:pPr>
        <w:pStyle w:val="0"/>
        <w:ind w:firstLine="240" w:firstLineChars="100"/>
        <w:rPr>
          <w:rFonts w:hint="default" w:asciiTheme="minorEastAsia" w:hAnsiTheme="minorEastAsia"/>
          <w:sz w:val="24"/>
        </w:rPr>
      </w:pPr>
      <w:r>
        <w:rPr>
          <w:rFonts w:hint="eastAsia" w:asciiTheme="minorEastAsia" w:hAnsiTheme="minorEastAsia"/>
          <w:sz w:val="24"/>
        </w:rPr>
        <w:t>⑷　過去において第１１条に規定する遵守事項に違反した場合</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⑸　その他，市長が当該請求又は申出を拒否するに足りる相当な理由があると認める場合</w:t>
      </w: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（通知）</w:t>
      </w:r>
    </w:p>
    <w:p>
      <w:pPr>
        <w:pStyle w:val="0"/>
        <w:ind w:left="240" w:hanging="240" w:hangingChars="100"/>
        <w:rPr>
          <w:rFonts w:hint="default" w:asciiTheme="minorEastAsia" w:hAnsiTheme="minorEastAsia"/>
          <w:sz w:val="24"/>
        </w:rPr>
      </w:pPr>
      <w:r>
        <w:rPr>
          <w:rFonts w:hint="eastAsia" w:asciiTheme="minorEastAsia" w:hAnsiTheme="minorEastAsia"/>
          <w:sz w:val="24"/>
        </w:rPr>
        <w:t>第９条　市長は，申出者に対し，当該閲覧の申出に係る審査の結果を住民基本台　　帳閲覧決定通知書（様式第５号）により通知するものとする。</w:t>
      </w: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（閲覧者の本人確認）</w:t>
      </w:r>
    </w:p>
    <w:p>
      <w:pPr>
        <w:pStyle w:val="0"/>
        <w:rPr>
          <w:rFonts w:hint="default" w:asciiTheme="minorEastAsia" w:hAnsiTheme="minorEastAsia"/>
          <w:sz w:val="24"/>
        </w:rPr>
      </w:pPr>
      <w:r>
        <w:rPr>
          <w:rFonts w:hint="eastAsia" w:asciiTheme="minorEastAsia" w:hAnsiTheme="minorEastAsia"/>
          <w:sz w:val="24"/>
        </w:rPr>
        <w:t>第１０条　閲覧者は，閲覧を行う際に，次に掲げる書類を提示しなければならない。</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⑴　法第１１条に基づく閲覧者にあっては，原則として国又は地方公共団の職員証（本人の顔写真が貼付されたもの）及び運転免許証等</w:t>
      </w:r>
    </w:p>
    <w:p>
      <w:pPr>
        <w:pStyle w:val="0"/>
        <w:ind w:firstLine="240" w:firstLineChars="100"/>
        <w:rPr>
          <w:rFonts w:hint="default" w:asciiTheme="minorEastAsia" w:hAnsiTheme="minorEastAsia"/>
          <w:sz w:val="24"/>
        </w:rPr>
      </w:pPr>
      <w:r>
        <w:rPr>
          <w:rFonts w:hint="eastAsia" w:asciiTheme="minorEastAsia" w:hAnsiTheme="minorEastAsia"/>
          <w:sz w:val="24"/>
        </w:rPr>
        <w:t>⑵　法第１１条の２に基づく閲覧者にあっては次に掲げるいずれかの書類</w:t>
      </w:r>
    </w:p>
    <w:p>
      <w:pPr>
        <w:pStyle w:val="0"/>
        <w:ind w:left="660" w:leftChars="200" w:hanging="240" w:hangingChars="100"/>
        <w:rPr>
          <w:rFonts w:hint="default" w:asciiTheme="minorEastAsia" w:hAnsiTheme="minorEastAsia"/>
          <w:sz w:val="24"/>
        </w:rPr>
      </w:pPr>
      <w:r>
        <w:rPr>
          <w:rFonts w:hint="eastAsia" w:asciiTheme="minorEastAsia" w:hAnsiTheme="minorEastAsia"/>
          <w:sz w:val="24"/>
        </w:rPr>
        <w:t>ア　個人番号カード又は旅券，運転免許証その他官公署が発行した免許証，許可証若しくは資格証明証等（本人の顔写真が貼付されたものに限る。以下「本人確認証明書」という。）</w:t>
      </w:r>
    </w:p>
    <w:p>
      <w:pPr>
        <w:pStyle w:val="0"/>
        <w:ind w:left="660" w:leftChars="200" w:hanging="240" w:hangingChars="100"/>
        <w:rPr>
          <w:rFonts w:hint="default" w:asciiTheme="minorEastAsia" w:hAnsiTheme="minorEastAsia"/>
          <w:sz w:val="24"/>
        </w:rPr>
      </w:pPr>
      <w:r>
        <w:rPr>
          <w:rFonts w:hint="eastAsia" w:asciiTheme="minorEastAsia" w:hAnsiTheme="minorEastAsia"/>
          <w:sz w:val="24"/>
        </w:rPr>
        <w:t>ィ　郵便その他市長が適当と認める方法により当該閲覧者に文書で照会した回答書（様式第６号）</w:t>
      </w:r>
    </w:p>
    <w:p>
      <w:pPr>
        <w:pStyle w:val="0"/>
        <w:ind w:firstLine="480" w:firstLineChars="200"/>
        <w:rPr>
          <w:rFonts w:hint="default" w:asciiTheme="minorEastAsia" w:hAnsiTheme="minorEastAsia"/>
          <w:sz w:val="24"/>
        </w:rPr>
      </w:pPr>
      <w:r>
        <w:rPr>
          <w:rFonts w:hint="eastAsia" w:asciiTheme="minorEastAsia" w:hAnsiTheme="minorEastAsia"/>
          <w:sz w:val="24"/>
        </w:rPr>
        <w:t>ウ　その他市長が適当と認める書類</w:t>
      </w: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（閲覧者の遵守事項）</w:t>
      </w:r>
    </w:p>
    <w:p>
      <w:pPr>
        <w:pStyle w:val="0"/>
        <w:rPr>
          <w:rFonts w:hint="default" w:asciiTheme="minorEastAsia" w:hAnsiTheme="minorEastAsia"/>
          <w:sz w:val="24"/>
        </w:rPr>
      </w:pPr>
      <w:r>
        <w:rPr>
          <w:rFonts w:hint="eastAsia" w:asciiTheme="minorEastAsia" w:hAnsiTheme="minorEastAsia"/>
          <w:sz w:val="24"/>
        </w:rPr>
        <w:t>第１１条　閲覧者は，閲覧に際し，次の事項を遵守しなければならない。</w:t>
      </w:r>
    </w:p>
    <w:p>
      <w:pPr>
        <w:pStyle w:val="0"/>
        <w:ind w:firstLine="240" w:firstLineChars="100"/>
        <w:rPr>
          <w:rFonts w:hint="default" w:asciiTheme="minorEastAsia" w:hAnsiTheme="minorEastAsia"/>
          <w:sz w:val="24"/>
        </w:rPr>
      </w:pPr>
      <w:r>
        <w:rPr>
          <w:rFonts w:hint="eastAsia" w:asciiTheme="minorEastAsia" w:hAnsiTheme="minorEastAsia"/>
          <w:sz w:val="24"/>
        </w:rPr>
        <w:t>⑴　閲覧の請求をした対象範囲を超えて閲覧をしないこと。</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⑵　閲覧台帳を書き写すときは，閲覧台帳の一部の抜き取り，汚損，毀損又は加筆をしないこと。</w:t>
      </w:r>
    </w:p>
    <w:p>
      <w:pPr>
        <w:pStyle w:val="0"/>
        <w:ind w:firstLine="240" w:firstLineChars="100"/>
        <w:rPr>
          <w:rFonts w:hint="default" w:asciiTheme="minorEastAsia" w:hAnsiTheme="minorEastAsia"/>
          <w:sz w:val="24"/>
        </w:rPr>
      </w:pPr>
      <w:r>
        <w:rPr>
          <w:rFonts w:hint="eastAsia" w:asciiTheme="minorEastAsia" w:hAnsiTheme="minorEastAsia"/>
          <w:sz w:val="24"/>
        </w:rPr>
        <w:t>⑶　他の名簿等を持ち込み，閲覧台帳と照合する等の行為をしないこと。</w:t>
      </w:r>
    </w:p>
    <w:p>
      <w:pPr>
        <w:pStyle w:val="0"/>
        <w:ind w:firstLine="240" w:firstLineChars="100"/>
        <w:rPr>
          <w:rFonts w:hint="default" w:asciiTheme="minorEastAsia" w:hAnsiTheme="minorEastAsia"/>
          <w:sz w:val="24"/>
        </w:rPr>
      </w:pPr>
      <w:r>
        <w:rPr>
          <w:rFonts w:hint="eastAsia" w:asciiTheme="minorEastAsia" w:hAnsiTheme="minorEastAsia"/>
          <w:sz w:val="24"/>
        </w:rPr>
        <w:t>⑷　閲覧場所でのカメラ，複写機，録音機等の使用はしないこと。</w:t>
      </w:r>
    </w:p>
    <w:p>
      <w:pPr>
        <w:pStyle w:val="0"/>
        <w:ind w:firstLine="240" w:firstLineChars="100"/>
        <w:rPr>
          <w:rFonts w:hint="default" w:asciiTheme="minorEastAsia" w:hAnsiTheme="minorEastAsia"/>
          <w:sz w:val="24"/>
        </w:rPr>
      </w:pPr>
      <w:r>
        <w:rPr>
          <w:rFonts w:hint="eastAsia" w:asciiTheme="minorEastAsia" w:hAnsiTheme="minorEastAsia"/>
          <w:sz w:val="24"/>
        </w:rPr>
        <w:t>⑸　プライバシーの侵害，差別行為等の不当な目的で閲覧しないこと。</w:t>
      </w:r>
    </w:p>
    <w:p>
      <w:pPr>
        <w:pStyle w:val="0"/>
        <w:ind w:firstLine="240" w:firstLineChars="100"/>
        <w:rPr>
          <w:rFonts w:hint="default" w:asciiTheme="minorEastAsia" w:hAnsiTheme="minorEastAsia"/>
          <w:sz w:val="24"/>
        </w:rPr>
      </w:pPr>
      <w:r>
        <w:rPr>
          <w:rFonts w:hint="eastAsia" w:asciiTheme="minorEastAsia" w:hAnsiTheme="minorEastAsia"/>
          <w:sz w:val="24"/>
        </w:rPr>
        <w:t>⑹　前各号に掲げるもののほか，係員の指示に従うこと。</w:t>
      </w: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（閲覧の中止等）</w:t>
      </w:r>
    </w:p>
    <w:p>
      <w:pPr>
        <w:pStyle w:val="0"/>
        <w:ind w:left="240" w:hanging="240" w:hangingChars="100"/>
        <w:rPr>
          <w:rFonts w:hint="default" w:asciiTheme="minorEastAsia" w:hAnsiTheme="minorEastAsia"/>
          <w:sz w:val="24"/>
        </w:rPr>
      </w:pPr>
      <w:r>
        <w:rPr>
          <w:rFonts w:hint="eastAsia" w:asciiTheme="minorEastAsia" w:hAnsiTheme="minorEastAsia"/>
          <w:sz w:val="24"/>
        </w:rPr>
        <w:t>第１２条　市長は，閲覧者が前条の遵守事項を守らないときは，直ちに閲覧を中止させることができる。</w:t>
      </w:r>
    </w:p>
    <w:p>
      <w:pPr>
        <w:pStyle w:val="0"/>
        <w:ind w:left="240" w:hanging="240" w:hangingChars="100"/>
        <w:rPr>
          <w:rFonts w:hint="default" w:asciiTheme="minorEastAsia" w:hAnsiTheme="minorEastAsia"/>
          <w:sz w:val="24"/>
        </w:rPr>
      </w:pPr>
      <w:r>
        <w:rPr>
          <w:rFonts w:hint="eastAsia" w:asciiTheme="minorEastAsia" w:hAnsiTheme="minorEastAsia"/>
          <w:sz w:val="24"/>
        </w:rPr>
        <w:t>２　閲覧者が閲覧用台帳を機器等により撮影又は複写しようとしていることを発見したときは，直ちに閲覧を中止させるとともに，それまでに転記していたものを回収し，及び機器等に撮影又は複写したデータを削除させる等の措置を講ずるものする。</w:t>
      </w: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（閲覧手数料）</w:t>
      </w:r>
    </w:p>
    <w:p>
      <w:pPr>
        <w:pStyle w:val="0"/>
        <w:ind w:left="240" w:hanging="240" w:hangingChars="100"/>
        <w:rPr>
          <w:rFonts w:hint="default" w:asciiTheme="minorEastAsia" w:hAnsiTheme="minorEastAsia"/>
          <w:sz w:val="24"/>
        </w:rPr>
      </w:pPr>
      <w:r>
        <w:rPr>
          <w:rFonts w:hint="eastAsia" w:asciiTheme="minorEastAsia" w:hAnsiTheme="minorEastAsia"/>
          <w:sz w:val="24"/>
        </w:rPr>
        <w:t>第１３条　閲覧に係る手数料は，赤平市手数料条例（平成１２年条例第２号）に定めるところにより徴収するものとする。</w:t>
      </w: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（公表）</w:t>
      </w:r>
    </w:p>
    <w:p>
      <w:pPr>
        <w:pStyle w:val="0"/>
        <w:ind w:left="240" w:hanging="240" w:hangingChars="100"/>
        <w:rPr>
          <w:rFonts w:hint="default" w:asciiTheme="minorEastAsia" w:hAnsiTheme="minorEastAsia"/>
          <w:sz w:val="24"/>
        </w:rPr>
      </w:pPr>
      <w:r>
        <w:rPr>
          <w:rFonts w:hint="eastAsia" w:asciiTheme="minorEastAsia" w:hAnsiTheme="minorEastAsia"/>
          <w:sz w:val="24"/>
        </w:rPr>
        <w:t>第１４条　市長は，閲覧状況について，毎年１回，法第１１条第３項及び第１１条の２第１２項の規定による公表を行うものとする。</w:t>
      </w:r>
    </w:p>
    <w:p>
      <w:pPr>
        <w:pStyle w:val="0"/>
        <w:ind w:left="240" w:hanging="240" w:hangingChars="100"/>
        <w:rPr>
          <w:rFonts w:hint="default" w:asciiTheme="minorEastAsia" w:hAnsiTheme="minorEastAsia"/>
          <w:sz w:val="24"/>
        </w:rPr>
      </w:pPr>
      <w:r>
        <w:rPr>
          <w:rFonts w:hint="eastAsia" w:asciiTheme="minorEastAsia" w:hAnsiTheme="minorEastAsia"/>
          <w:sz w:val="24"/>
        </w:rPr>
        <w:t>２　前項に規定する公表は，赤平市公告式条例（昭和２５年条例第３号）第２条第２項に規定する掲示場へ掲示するほか，赤平市ホームページに公表するものとする。</w:t>
      </w: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（その他）</w:t>
      </w:r>
    </w:p>
    <w:p>
      <w:pPr>
        <w:pStyle w:val="0"/>
        <w:rPr>
          <w:rFonts w:hint="default" w:asciiTheme="minorEastAsia" w:hAnsiTheme="minorEastAsia"/>
          <w:sz w:val="24"/>
        </w:rPr>
      </w:pPr>
      <w:r>
        <w:rPr>
          <w:rFonts w:hint="eastAsia" w:asciiTheme="minorEastAsia" w:hAnsiTheme="minorEastAsia"/>
          <w:sz w:val="24"/>
        </w:rPr>
        <w:t>第１５条　この要綱に定めるもののほか，必要な事項は，市長が別に定める。</w:t>
      </w:r>
    </w:p>
    <w:p>
      <w:pPr>
        <w:pStyle w:val="0"/>
        <w:rPr>
          <w:rFonts w:hint="default" w:asciiTheme="minorEastAsia" w:hAnsiTheme="minorEastAsia"/>
          <w:sz w:val="24"/>
        </w:rPr>
      </w:pPr>
    </w:p>
    <w:p>
      <w:pPr>
        <w:pStyle w:val="0"/>
        <w:ind w:firstLine="720" w:firstLineChars="300"/>
        <w:rPr>
          <w:rFonts w:hint="default" w:asciiTheme="minorEastAsia" w:hAnsiTheme="minorEastAsia"/>
          <w:sz w:val="24"/>
        </w:rPr>
      </w:pPr>
      <w:r>
        <w:rPr>
          <w:rFonts w:hint="eastAsia" w:asciiTheme="minorEastAsia" w:hAnsiTheme="minorEastAsia"/>
          <w:sz w:val="24"/>
        </w:rPr>
        <w:t>附　則</w:t>
      </w:r>
    </w:p>
    <w:p>
      <w:pPr>
        <w:pStyle w:val="0"/>
        <w:ind w:firstLine="240" w:firstLineChars="100"/>
        <w:rPr>
          <w:rFonts w:hint="default" w:asciiTheme="minorEastAsia" w:hAnsiTheme="minorEastAsia"/>
          <w:sz w:val="24"/>
        </w:rPr>
      </w:pPr>
      <w:r>
        <w:rPr>
          <w:rFonts w:hint="eastAsia" w:asciiTheme="minorEastAsia" w:hAnsiTheme="minorEastAsia"/>
          <w:sz w:val="24"/>
        </w:rPr>
        <w:t>この要綱は，平成２９年１月１日から施行する。</w:t>
      </w:r>
    </w:p>
    <w:p>
      <w:pPr>
        <w:pStyle w:val="0"/>
        <w:rPr>
          <w:rFonts w:hint="default" w:asciiTheme="minorEastAsia" w:hAnsiTheme="minorEastAsia"/>
          <w:sz w:val="24"/>
        </w:rPr>
      </w:pPr>
      <w:bookmarkStart w:id="0" w:name="_GoBack"/>
      <w:bookmarkEnd w:id="0"/>
    </w:p>
    <w:sectPr>
      <w:pgSz w:w="11906" w:h="16838"/>
      <w:pgMar w:top="1701" w:right="1418" w:bottom="170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qFormat/>
    <w:pPr>
      <w:ind w:left="840" w:leftChars="400"/>
    </w:p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264</TotalTime>
  <Pages>10</Pages>
  <Words>9</Words>
  <Characters>4128</Characters>
  <Application>JUST Note</Application>
  <Lines>2445</Lines>
  <Paragraphs>203</Paragraphs>
  <CharactersWithSpaces>4486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Machida</dc:creator>
  <cp:lastModifiedBy>user</cp:lastModifiedBy>
  <cp:lastPrinted>2016-11-18T05:58:00Z</cp:lastPrinted>
  <dcterms:created xsi:type="dcterms:W3CDTF">2016-11-16T07:14:00Z</dcterms:created>
  <dcterms:modified xsi:type="dcterms:W3CDTF">2016-12-14T05:52:27Z</dcterms:modified>
  <cp:revision>10</cp:revision>
</cp:coreProperties>
</file>